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81"/>
        </w:tabs>
        <w:spacing w:after="0" w:before="211" w:line="240" w:lineRule="auto"/>
        <w:ind w:left="114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Decreto n°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, de 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6804" w:right="1137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Cria, no âmbito do Sistema Nacional de Segurança Alimentar e Nutricional a Câmara Municipal Intersetorial de Segurança Alimentar e Nutricional.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44"/>
        </w:tabs>
        <w:spacing w:after="0" w:before="0" w:line="274" w:lineRule="auto"/>
        <w:ind w:left="1140" w:right="118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O PREFEITO DO MUNICÍPIO DE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ESTADO DO RIO GRANDE DO SUL, no uso de suas atribuições constitucionais e tendo em vista o disposto na Lei nº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284" w:lineRule="auto"/>
        <w:ind w:left="993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DECRETA: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1140" w:right="1135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Art.1°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Fica criada a Câmara Intersetorial Municipal de Segurança Alimentar e Nutricional -CAISAN do Município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140" w:right="11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___________Estado de Rio Grande do Sul, no âmbito do Sistema Nacional de Segurança Alimentar e Nutricional–SISAN, com a finalidade de promover a articulação e a integração dos órgãos, entidades e ações da administração pública municipais afetos à área de Segurança Alimentar e Nutricional, com as seguintes competências: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140" w:right="112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elaborar, a partir das diretrizes emanadas do Consea Municipal, a Política e o Plano Municipal de Segurança Alimentar e Nutricional, indicando diretrizes, metas e fontes de recursos, bem como instrumentos de acompanhamento, monitoramento e avaliação de sua implementação; coordenar a execução da Política e do Plano Municipal de Segurança Alimentar e Nutricional, mediante interlocução permanente com o Conselho Municipal de Segurança Alimentar e Nutricional e com os órgãos executores de ações e programas de SAN;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apresentar relatórios e informações ao Conselho Municipal de Segurança Alimentar e Nutricional, necessários ao acompanhamento e monitoramento do Plano Municipal de Segurança Alimentar e Nutricional;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monitorar e avaliar os resultados e impactos da Política e do Plano Municipal de Segurança Alimentar e Nutricional;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participar do fórum bipartite, bem com do fórum tripartipe, para interlocução e pactuação com a Câmara Estadual Intersetorial de Segurança Alimentar e Nutricional e a Câmara Interministerial de Segurança Alimentar e Nutricional, sobre o Pacto de Gestão do DHAA (PGDHAA) e mecanismos de implementação dos planos de Segurança Alimentar e Nutricional;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solicitar informações de quaisquer órgãos da administração direta ou indireta do Poder Executivo Municipal para o bom desempenho de suas atribuições.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assegurar o acompanhamento da análise e encaminhamento das recomendações do CONSEA Municipal pelos órgãos de governo que compõem a CAISAN Municipal apresentando relatórios periódicos;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2" w:lineRule="auto"/>
        <w:ind w:left="1860" w:right="1128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elaborar e aprovar o seu regimento interno em consonância com a Lei nº 11.346 de 15 de setembro de 2006 e os Decretos nº 6272 e nº 6273, ambos de novembro de 2001 e o Decreto nº 7272 de 25 de agosto de 2010.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9" w:lineRule="auto"/>
        <w:ind w:left="1140" w:right="1183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2°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 Política Municipal de Segurança Alimentar e Nutricional será implementada por meio do Plano Municipal de Segurança Alimentar e Nutricional, a ser construído intersetorialmente pela Câmara Municipal Intersetorial de Segurança Alimentar e Nutricional, com base nas prioridades estabelecidas pelo Conselho Municipal de Segurança Alimentar e Nutricional, a partir das deliberações das Conferências Nacional, Estadual e Municipal de Segurança Alimentar e Nutricional.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" w:line="240" w:lineRule="auto"/>
        <w:ind w:left="156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§ 1°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– o Plano Municipal de SAN deverá: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numPr>
          <w:ilvl w:val="0"/>
          <w:numId w:val="1"/>
        </w:numPr>
        <w:ind w:left="2520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conter análise da situação nacional de Segurança Alimentar e Nutricional;</w:t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ind w:left="2520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ser quadrienal e ter vigência correspondente ao plano plurianual;</w:t>
      </w:r>
    </w:p>
    <w:p w:rsidR="00000000" w:rsidDel="00000000" w:rsidP="00000000" w:rsidRDefault="00000000" w:rsidRPr="00000000" w14:paraId="00000018">
      <w:pPr>
        <w:pStyle w:val="Heading3"/>
        <w:numPr>
          <w:ilvl w:val="0"/>
          <w:numId w:val="1"/>
        </w:numPr>
        <w:ind w:left="2520" w:right="1183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dispor sobre os temas previstos no parágrafo único do Art. 22 do Decreto nº 7.272/2010, entre outros temas apontados pelo CONSEA e pela Conferência Municipal de SAN;</w:t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1"/>
        </w:numPr>
        <w:ind w:left="2520" w:right="1183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explicitar as responsabilidades dos órgãos e entidades afetas à Segurança Alimentar e Nutricional;</w:t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1"/>
        </w:numPr>
        <w:ind w:left="2520" w:right="1183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incorporar estratégias territoriais e intersetoriais e visões articuladas das demandas das populações, com atenção para as especificidades dos diversos grupos populacionais em situação de vulnerabilidade e de Insegurança Alimentar e Nutricional, respeitando a diversidade social, cultural, ambiental, étnico-ra-cial e a equidade de gênero;</w:t>
      </w:r>
    </w:p>
    <w:p w:rsidR="00000000" w:rsidDel="00000000" w:rsidP="00000000" w:rsidRDefault="00000000" w:rsidRPr="00000000" w14:paraId="0000001B">
      <w:pPr>
        <w:pStyle w:val="Heading3"/>
        <w:numPr>
          <w:ilvl w:val="0"/>
          <w:numId w:val="1"/>
        </w:numPr>
        <w:ind w:left="2520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definir seus mecanismos de monitoramento e avaliação.</w:t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1"/>
        </w:numPr>
        <w:ind w:left="2520" w:right="1183" w:hanging="360"/>
        <w:jc w:val="both"/>
        <w:rPr>
          <w:rFonts w:ascii="Tahoma" w:cs="Tahoma" w:eastAsia="Tahoma" w:hAnsi="Tahoma"/>
          <w:color w:val="231f20"/>
        </w:rPr>
      </w:pPr>
      <w:r w:rsidDel="00000000" w:rsidR="00000000" w:rsidRPr="00000000">
        <w:rPr>
          <w:rFonts w:ascii="Tahoma" w:cs="Tahoma" w:eastAsia="Tahoma" w:hAnsi="Tahoma"/>
          <w:color w:val="231f20"/>
          <w:rtl w:val="0"/>
        </w:rPr>
        <w:t xml:space="preserve">ser revisado a cada dois anos, com base nas orientações da Câmara Interministerial de Segurança Alimentar e Nutricional, nas propostas do CONSEA e no monitoramento da sua execução.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" w:line="235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3°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 programação e a execução orçamentária e financeira dos programas e ações que integram a Política e o Plano Municipal de Segurança Alimentar e Nutricional é de responsabilidade dos órgãos e entidades competentes conforme a natureza temática a que se referem, observadas as respectivas competências exclusivas e as demais disposições da legislação aplicável.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1"/>
        </w:tabs>
        <w:spacing w:after="0" w:before="0" w:line="237" w:lineRule="auto"/>
        <w:ind w:left="1140" w:right="113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4°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 Câmara Intersetorial de Segurança Alimentar e Nutricional deverá ser integrada pelos mesmos representantes governamentais titulares e suplentes no CONSEA, de que trata o Decreto n°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e presidida, preferentemente, por titular de pasta com atribuições de articulação e integração.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1"/>
        </w:tabs>
        <w:spacing w:after="0" w:before="0" w:line="237" w:lineRule="auto"/>
        <w:ind w:left="1140" w:right="113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1"/>
        </w:tabs>
        <w:spacing w:after="0" w:before="0" w:line="237" w:lineRule="auto"/>
        <w:ind w:left="1140" w:right="113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5°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 Secretaria-Executiva da câmara ou instância governamental de gestão intersetorial de Segurança Alimentar e Nutricional deve ser exercida pelo órgão governamental que a preside, sendo seu Secretário-Executivo indicado pelo titular da pasta, e designado por ato do chefe do executivo.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1"/>
        </w:tabs>
        <w:spacing w:after="0" w:before="0" w:line="237" w:lineRule="auto"/>
        <w:ind w:left="1140" w:right="113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6°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 Câmara Intersetorial de Segurança Alimentar e Nutricional poderá instituir comitês técnicos com a atribuição de proceder à prévia análise de ações específicas.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140" w:right="1138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504.00000000000006" w:lineRule="auto"/>
        <w:ind w:left="1140" w:right="1294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Art. 7°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Este Decreto entra em vigor na data de sua publicação.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504.00000000000006" w:lineRule="auto"/>
        <w:ind w:left="1140" w:right="1294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504.00000000000006" w:lineRule="auto"/>
        <w:ind w:left="1140" w:right="1294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XXXXXXXX, de XXXXXXXX de XXXXXXX.</w:t>
      </w: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420" w:top="1120" w:left="0" w:right="0" w:header="0" w:footer="2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COLOCAR TIBRE DO MUNICÍPIO AQUI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860" w:hanging="360"/>
      </w:pPr>
      <w:rPr/>
    </w:lvl>
    <w:lvl w:ilvl="1">
      <w:start w:val="1"/>
      <w:numFmt w:val="lowerLetter"/>
      <w:lvlText w:val="%2."/>
      <w:lvlJc w:val="left"/>
      <w:pPr>
        <w:ind w:left="2580" w:hanging="360"/>
      </w:pPr>
      <w:rPr/>
    </w:lvl>
    <w:lvl w:ilvl="2">
      <w:start w:val="1"/>
      <w:numFmt w:val="lowerRoman"/>
      <w:lvlText w:val="%3."/>
      <w:lvlJc w:val="right"/>
      <w:pPr>
        <w:ind w:left="3300" w:hanging="180"/>
      </w:pPr>
      <w:rPr/>
    </w:lvl>
    <w:lvl w:ilvl="3">
      <w:start w:val="1"/>
      <w:numFmt w:val="decimal"/>
      <w:lvlText w:val="%4."/>
      <w:lvlJc w:val="left"/>
      <w:pPr>
        <w:ind w:left="4020" w:hanging="360"/>
      </w:pPr>
      <w:rPr/>
    </w:lvl>
    <w:lvl w:ilvl="4">
      <w:start w:val="1"/>
      <w:numFmt w:val="lowerLetter"/>
      <w:lvlText w:val="%5."/>
      <w:lvlJc w:val="left"/>
      <w:pPr>
        <w:ind w:left="4740" w:hanging="360"/>
      </w:pPr>
      <w:rPr/>
    </w:lvl>
    <w:lvl w:ilvl="5">
      <w:start w:val="1"/>
      <w:numFmt w:val="lowerRoman"/>
      <w:lvlText w:val="%6."/>
      <w:lvlJc w:val="right"/>
      <w:pPr>
        <w:ind w:left="5460" w:hanging="180"/>
      </w:pPr>
      <w:rPr/>
    </w:lvl>
    <w:lvl w:ilvl="6">
      <w:start w:val="1"/>
      <w:numFmt w:val="decimal"/>
      <w:lvlText w:val="%7."/>
      <w:lvlJc w:val="left"/>
      <w:pPr>
        <w:ind w:left="6180" w:hanging="360"/>
      </w:pPr>
      <w:rPr/>
    </w:lvl>
    <w:lvl w:ilvl="7">
      <w:start w:val="1"/>
      <w:numFmt w:val="lowerLetter"/>
      <w:lvlText w:val="%8."/>
      <w:lvlJc w:val="left"/>
      <w:pPr>
        <w:ind w:left="6900" w:hanging="360"/>
      </w:pPr>
      <w:rPr/>
    </w:lvl>
    <w:lvl w:ilvl="8">
      <w:start w:val="1"/>
      <w:numFmt w:val="lowerRoman"/>
      <w:lvlText w:val="%9."/>
      <w:lvlJc w:val="right"/>
      <w:pPr>
        <w:ind w:left="76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720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800" w:hanging="360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spacing w:before="33" w:lineRule="auto"/>
      <w:ind w:left="2693" w:right="2694"/>
      <w:jc w:val="center"/>
    </w:pPr>
    <w:rPr>
      <w:rFonts w:ascii="Arial" w:cs="Arial" w:eastAsia="Arial" w:hAnsi="Arial"/>
      <w:b w:val="1"/>
      <w:sz w:val="41"/>
      <w:szCs w:val="41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numPr>
        <w:numId w:val="1"/>
      </w:numPr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9"/>
    <w:unhideWhenUsed w:val="1"/>
    <w:qFormat w:val="1"/>
    <w:pPr>
      <w:numPr>
        <w:ilvl w:val="1"/>
        <w:numId w:val="1"/>
      </w:numPr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1D088A"/>
    <w:pPr>
      <w:keepNext w:val="1"/>
      <w:keepLines w:val="1"/>
      <w:numPr>
        <w:ilvl w:val="2"/>
        <w:numId w:val="1"/>
      </w:numPr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D088A"/>
    <w:pPr>
      <w:keepNext w:val="1"/>
      <w:keepLines w:val="1"/>
      <w:numPr>
        <w:ilvl w:val="3"/>
        <w:numId w:val="1"/>
      </w:numPr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D088A"/>
    <w:pPr>
      <w:keepNext w:val="1"/>
      <w:keepLines w:val="1"/>
      <w:numPr>
        <w:ilvl w:val="4"/>
        <w:numId w:val="1"/>
      </w:numPr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1D088A"/>
    <w:pPr>
      <w:keepNext w:val="1"/>
      <w:keepLines w:val="1"/>
      <w:numPr>
        <w:ilvl w:val="5"/>
        <w:numId w:val="1"/>
      </w:numPr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D088A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D088A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D088A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311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" w:line="256" w:lineRule="exact"/>
      <w:ind w:left="69"/>
    </w:pPr>
    <w:rPr>
      <w:rFonts w:ascii="Times New Roman" w:cs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 w:val="1"/>
    <w:rsid w:val="00ED16F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D16F7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ED16F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D16F7"/>
    <w:rPr>
      <w:rFonts w:ascii="Calibri" w:cs="Calibri" w:eastAsia="Calibri" w:hAnsi="Calibri"/>
      <w:lang w:val="pt-PT"/>
    </w:rPr>
  </w:style>
  <w:style w:type="paragraph" w:styleId="Sumrio1">
    <w:name w:val="toc 1"/>
    <w:basedOn w:val="Normal"/>
    <w:uiPriority w:val="1"/>
    <w:qFormat w:val="1"/>
    <w:rsid w:val="00B819DA"/>
    <w:pPr>
      <w:spacing w:before="12"/>
      <w:ind w:left="1553"/>
    </w:pPr>
    <w:rPr>
      <w:rFonts w:ascii="Arial" w:cs="Arial" w:eastAsia="Arial" w:hAnsi="Arial"/>
      <w:sz w:val="24"/>
      <w:szCs w:val="24"/>
    </w:rPr>
  </w:style>
  <w:style w:type="paragraph" w:styleId="Ttulo">
    <w:name w:val="Title"/>
    <w:basedOn w:val="Normal"/>
    <w:link w:val="TtuloChar"/>
    <w:uiPriority w:val="10"/>
    <w:qFormat w:val="1"/>
    <w:rsid w:val="00B819DA"/>
    <w:pPr>
      <w:spacing w:before="33"/>
      <w:ind w:left="2693" w:right="2694"/>
      <w:jc w:val="center"/>
    </w:pPr>
    <w:rPr>
      <w:rFonts w:ascii="Arial" w:cs="Arial" w:eastAsia="Arial" w:hAnsi="Arial"/>
      <w:b w:val="1"/>
      <w:bCs w:val="1"/>
      <w:sz w:val="41"/>
      <w:szCs w:val="41"/>
    </w:rPr>
  </w:style>
  <w:style w:type="character" w:styleId="TtuloChar" w:customStyle="1">
    <w:name w:val="Título Char"/>
    <w:basedOn w:val="Fontepargpadro"/>
    <w:link w:val="Ttulo"/>
    <w:uiPriority w:val="10"/>
    <w:rsid w:val="00B819DA"/>
    <w:rPr>
      <w:rFonts w:ascii="Arial" w:cs="Arial" w:eastAsia="Arial" w:hAnsi="Arial"/>
      <w:b w:val="1"/>
      <w:bCs w:val="1"/>
      <w:sz w:val="41"/>
      <w:szCs w:val="41"/>
      <w:lang w:val="pt-PT"/>
    </w:rPr>
  </w:style>
  <w:style w:type="character" w:styleId="Ttulo3Char" w:customStyle="1">
    <w:name w:val="Título 3 Char"/>
    <w:basedOn w:val="Fontepargpadro"/>
    <w:link w:val="Ttulo3"/>
    <w:uiPriority w:val="9"/>
    <w:rsid w:val="001D088A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pt-PT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D088A"/>
    <w:rPr>
      <w:rFonts w:asciiTheme="majorHAnsi" w:cstheme="majorBidi" w:eastAsiaTheme="majorEastAsia" w:hAnsiTheme="majorHAnsi"/>
      <w:i w:val="1"/>
      <w:iCs w:val="1"/>
      <w:color w:val="365f91" w:themeColor="accent1" w:themeShade="0000BF"/>
      <w:lang w:val="pt-PT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D088A"/>
    <w:rPr>
      <w:rFonts w:asciiTheme="majorHAnsi" w:cstheme="majorBidi" w:eastAsiaTheme="majorEastAsia" w:hAnsiTheme="majorHAnsi"/>
      <w:color w:val="365f91" w:themeColor="accent1" w:themeShade="0000BF"/>
      <w:lang w:val="pt-PT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1D088A"/>
    <w:rPr>
      <w:rFonts w:asciiTheme="majorHAnsi" w:cstheme="majorBidi" w:eastAsiaTheme="majorEastAsia" w:hAnsiTheme="majorHAnsi"/>
      <w:color w:val="243f60" w:themeColor="accent1" w:themeShade="00007F"/>
      <w:lang w:val="pt-PT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D088A"/>
    <w:rPr>
      <w:rFonts w:asciiTheme="majorHAnsi" w:cstheme="majorBidi" w:eastAsiaTheme="majorEastAsia" w:hAnsiTheme="majorHAnsi"/>
      <w:i w:val="1"/>
      <w:iCs w:val="1"/>
      <w:color w:val="243f60" w:themeColor="accent1" w:themeShade="00007F"/>
      <w:lang w:val="pt-PT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D088A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pt-PT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D088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QMsX5jxbaDHmMiT7IeOvB1Omg==">AMUW2mV0Q48NVxGej075UE/YkowY5TeNqHn7wT4RzFyQas2sMrZxukyiRFAJruo89ZL+7D5Sq4RwHBWvRTv7mnpBnLSi9ZX8rYGLRnDeTQw+/Ja92JgVsnY=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2022-03-26T19:03:00Z</dcterms:created>
  <dc:creator>Carmem Cardoso Teixeira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